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A6741D" w:rsidRDefault="00A6741D" w:rsidP="004F0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декабря 2012 г. N 1011н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741D" w:rsidRDefault="00A6741D">
      <w:pPr>
        <w:pStyle w:val="ConsPlusTitle"/>
        <w:jc w:val="center"/>
        <w:rPr>
          <w:sz w:val="20"/>
          <w:szCs w:val="20"/>
        </w:rPr>
      </w:pPr>
      <w:bookmarkStart w:id="1" w:name="Par27"/>
      <w:bookmarkEnd w:id="1"/>
      <w:r>
        <w:rPr>
          <w:sz w:val="20"/>
          <w:szCs w:val="20"/>
        </w:rPr>
        <w:t>ПОРЯДОК ПРОВЕДЕНИЯ ПРОФИЛАКТИЧЕСКОГО МЕДИЦИНСКОГО ОСМОТРА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взрослого населения (в возрасте 18 лет и старше).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населения в целях выявления отдельных заболеваний.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Профилактический медицинский осмотр проводится в целях раннего 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 &lt;1&gt;.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4" w:history="1">
        <w:r>
          <w:rPr>
            <w:rFonts w:ascii="Calibri" w:hAnsi="Calibri" w:cs="Calibri"/>
            <w:color w:val="0000FF"/>
          </w:rPr>
          <w:t>Статья 46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профилактического медицинского осмотра направлено на раннее выявление отдельных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Профилактический медицинский осмотр проводится 1 раз в 2 года.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год прохождения диспансеризации профилактический медицинский осмотр не проводится.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Профилактический медицинский осмотр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"терапии", "рентгенологии", "клинической лабораторной диагностике" ("лабораторной диагностике").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у медицинской организации, осуществляющей профилактический медицинский осмотр, лицензии на медицинскую деятельность по отдельным видам работ (услуг), необходимым для проведения профилактического медицинского осмотра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профилактического медицинского осмотра.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Гражданин проходит профилактический медицинский осмотр в медицинской </w:t>
      </w:r>
      <w:r>
        <w:rPr>
          <w:rFonts w:ascii="Calibri" w:hAnsi="Calibri" w:cs="Calibri"/>
        </w:rPr>
        <w:lastRenderedPageBreak/>
        <w:t>организации, в которой он получает первичную медико-санитарную помощь.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Профилактический медицинский осмотр проводится при наличии информированного добровольного согласия гражданина или его законного </w:t>
      </w:r>
      <w:hyperlink r:id="rId5" w:history="1">
        <w:r>
          <w:rPr>
            <w:rFonts w:ascii="Calibri" w:hAnsi="Calibri" w:cs="Calibri"/>
            <w:color w:val="0000FF"/>
          </w:rPr>
          <w:t>представителя</w:t>
        </w:r>
      </w:hyperlink>
      <w:r>
        <w:rPr>
          <w:rFonts w:ascii="Calibri" w:hAnsi="Calibri" w:cs="Calibri"/>
        </w:rPr>
        <w:t xml:space="preserve">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форме и в порядке, которые утверждены Министерством здравоохранения Российской Федерации.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вправе отказаться от проведения профилактического медицинского осмотра в целом либо от отдельных видов медицинских вмешательств, входящих в профилактический медицинский осмотр, в порядке и по форме, которые утверждены Министерством здравоохранения Российской Федерации.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Руководитель медицинской организации организует проведение профилактических медицинских осмотров населения, находящегося на медицинском обслуживании в медицинской организации.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организует проведение профилактических медицинских осмотров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Фельдшер фельдшерского здравпункта или фельдшерско-акушерского пункта организует проведение профилактических медицинских осмотров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осмотра, в порядке, установленном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задачами врача-терапевта при проведении профилактических медицинских осмотров являются: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привлечение населения участка к прохождению профилактического медицинского осмотра, информирование об его целях и задачах, объеме проводимого обследования и графике работы подразделений медицинской организации, участвующих в проведении профилактических медицинских осмотров, необходимых подготовительных мероприятиях, а также повышение мотивации граждан к прохождению профилактического медицинского осмотра, в том числе путем проведения разъяснительных бесед на уровне семьи, организованного коллектива;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заключительного медицинского осмотра гражданина, установление диагноза заболевания (состояния), определение группы состояния здоровья, группы диспансерного наблюдения (у врача-терапевта или врача (фельдшера) кабинета медицинской профилактики),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профилактического медицинского осмотра, или для получения специализированной, в том числе высокотехнологичной, медицинской помощи, на санаторно-курортное лечение;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краткого профилактического консультирования,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 для оказания медицинской помощи по коррекции указанных факторов риска;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участие в оформлении (ведении) учетной и отчетной медицинской документации, в том числе паспорта здоровья, форма которого утверждается Министерством здравоохранения Российской Федерации (далее - паспорт здоровья);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подведение итогов профилактических медицинских осмотров.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профилактических медицинских осмотров являются: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информировании населения, находящегося на медицинском обслуживании в медицинской организации, о проведении профилактических медицинских осмотров, об их целях и задачах, а также в проведении разъяснительной работы и мотивировании граждан к прохождению профилактических медицинских осмотров;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инструктаж граждан, прибывших на профилактический медицинский осмотр, о порядке его прохождения, объеме и последовательности проведения обследования;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выполнение доврачебных медицинских исследований (опрос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06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комплекта документов, включая заполнение учетной формы "Маршрутная карта диспансеризации (профилактического медицинского осмотра)", утвержденной Министерством здравоохранения Российской Федерации (далее - маршрутная карта), по результатам исследований, проведенных в рамках профилактического медицинского осмотра, для направления пациента на заключительный осмотр врачом-терапевтом;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учет граждан, прошедших профилактический медицинский осмотр;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заполнение паспортной части и, по согласованию с врачом-терапевтом, других разделов паспорта здоровья.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2"/>
      <w:bookmarkEnd w:id="2"/>
      <w:r>
        <w:rPr>
          <w:rFonts w:ascii="Calibri" w:hAnsi="Calibri" w:cs="Calibri"/>
        </w:rPr>
        <w:t>10. Профилактический медицинский осмотр включает в себя: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"/>
      <w:bookmarkEnd w:id="3"/>
      <w:r>
        <w:rPr>
          <w:rFonts w:ascii="Calibri" w:hAnsi="Calibri" w:cs="Calibri"/>
        </w:rPr>
        <w:t>1) 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антропометрию (измерение роста стоя, массы тела, окружности талии), расчет индекса массы тела;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измерение артериального давления;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уровня общего холестерина в крови экспресс-методом (допускается лабораторный метод);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исследование уровня глюкозы в крови экспресс-методом (допускается лабораторный метод);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определение суммарного сердечно-сосудистого риска (для граждан в возрасте до 65 лет);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флюорографию легких &lt;1&gt;;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Флюорография легких не проводится, если гражданину в течение предшествующего календарного года либо года проведения профилактического медицинского осмотра проводилась рентгенография (рентгеноскопия) или компьютерная томография органов грудной клетки.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маммографию (для женщин в возрасте 39 лет и старше);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исследование кала на скрытую кровь (для граждан в возрасте 45 лет и старше);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профилактическое консультирование, при наличии </w:t>
      </w:r>
      <w:r>
        <w:rPr>
          <w:rFonts w:ascii="Calibri" w:hAnsi="Calibri" w:cs="Calibri"/>
        </w:rPr>
        <w:lastRenderedPageBreak/>
        <w:t>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наличии у гражданина результатов исследований, указанных в </w:t>
      </w:r>
      <w:hyperlink w:anchor="Par62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которые выполнялись в течение 12 месяцев, предшествующих месяцу проведения профилактического медицинского осмотра, решение о необходимости повторного исследования в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выявлении у гражданина в процессе профилактического медицинского осмотра медицинских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настоящим Порядком, они назначаются и выполняются гражданину с учетом положений </w:t>
      </w:r>
      <w:hyperlink r:id="rId7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помощи по профилю выявленного или предполагаемого заболевания (состояния) и </w:t>
      </w:r>
      <w:hyperlink r:id="rId8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помощи, утвержденных Министерством здравоохранения Российской Федерации.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Результаты осмотра врачом-терапевтом и проведенных во время профилактического медицинского осмотра исследований вносятся в маршрутную карту, которая подшивается в учетную </w:t>
      </w:r>
      <w:hyperlink r:id="rId9" w:history="1">
        <w:r>
          <w:rPr>
            <w:rFonts w:ascii="Calibri" w:hAnsi="Calibri" w:cs="Calibri"/>
            <w:color w:val="0000FF"/>
          </w:rPr>
          <w:t>форму N 025/у-04</w:t>
        </w:r>
      </w:hyperlink>
      <w:r>
        <w:rPr>
          <w:rFonts w:ascii="Calibri" w:hAnsi="Calibri" w:cs="Calibri"/>
        </w:rPr>
        <w:t xml:space="preserve"> "Медицинская карта амбулаторного больного", утвержденную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 (далее - медицинская карта амбулаторного больного).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 основе сведений о прохождении гражданином профилактического медицинского осмотра медицинским работником отделения (кабинета) медицинской профилактики заполняется "Карта учета диспансеризации (профилактических медицинских осмотров)" по форме, утвержденной Министерством здравоохранения Российской Федерации.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проведении профилактического медицинского осмотра и его результаты врачом-терапевтом вносятся в паспорт здоровья, который выдается гражданину.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Для определения по результатам профилактического медицинского осмотра группы состояния здоровья гражданина и планирования тактики его медицинского наблюдения используются следующие критерии: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группа состояния здоровья - граждане, у которых </w:t>
      </w:r>
      <w:r w:rsidRPr="005D642A">
        <w:rPr>
          <w:rFonts w:ascii="Calibri" w:hAnsi="Calibri" w:cs="Calibri"/>
          <w:u w:val="single"/>
        </w:rPr>
        <w:t>не установлены</w:t>
      </w:r>
      <w:r>
        <w:rPr>
          <w:rFonts w:ascii="Calibri" w:hAnsi="Calibri" w:cs="Calibri"/>
        </w:rPr>
        <w:t xml:space="preserve"> хронические неинфекционные заболевания, </w:t>
      </w:r>
      <w:r w:rsidRPr="005D642A">
        <w:rPr>
          <w:rFonts w:ascii="Calibri" w:hAnsi="Calibri" w:cs="Calibri"/>
          <w:u w:val="single"/>
        </w:rPr>
        <w:t>отсутствуют факторы риска</w:t>
      </w:r>
      <w:r>
        <w:rPr>
          <w:rFonts w:ascii="Calibri" w:hAnsi="Calibri" w:cs="Calibri"/>
        </w:rPr>
        <w:t xml:space="preserve"> развития таких заболеваний или имеются указанные факторы риска </w:t>
      </w:r>
      <w:r w:rsidRPr="005D642A">
        <w:rPr>
          <w:rFonts w:ascii="Calibri" w:hAnsi="Calibri" w:cs="Calibri"/>
          <w:u w:val="single"/>
        </w:rPr>
        <w:t>при низком или среднем</w:t>
      </w:r>
      <w:r>
        <w:rPr>
          <w:rFonts w:ascii="Calibri" w:hAnsi="Calibri" w:cs="Calibri"/>
        </w:rPr>
        <w:t xml:space="preserve"> суммарном сердечно-сосудистом риске и которые не нуждаются в диспансерном наблюдении по поводу других заболеваний (состояний).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 группа состояния здоровья - граждане, у которых </w:t>
      </w:r>
      <w:r w:rsidRPr="005D642A">
        <w:rPr>
          <w:rFonts w:ascii="Calibri" w:hAnsi="Calibri" w:cs="Calibri"/>
          <w:u w:val="single"/>
        </w:rPr>
        <w:t>не установлены</w:t>
      </w:r>
      <w:r>
        <w:rPr>
          <w:rFonts w:ascii="Calibri" w:hAnsi="Calibri" w:cs="Calibri"/>
        </w:rPr>
        <w:t xml:space="preserve"> хронические неинфекционные заболевания, имеются </w:t>
      </w:r>
      <w:r w:rsidRPr="005D642A">
        <w:rPr>
          <w:rFonts w:ascii="Calibri" w:hAnsi="Calibri" w:cs="Calibri"/>
          <w:u w:val="single"/>
        </w:rPr>
        <w:t>факторы риска развития</w:t>
      </w:r>
      <w:r>
        <w:rPr>
          <w:rFonts w:ascii="Calibri" w:hAnsi="Calibri" w:cs="Calibri"/>
        </w:rPr>
        <w:t xml:space="preserve"> таких </w:t>
      </w:r>
      <w:r w:rsidRPr="005D642A">
        <w:rPr>
          <w:rFonts w:ascii="Calibri" w:hAnsi="Calibri" w:cs="Calibri"/>
          <w:u w:val="single"/>
        </w:rPr>
        <w:t>заболеваний при высоком или очень высоком суммарном</w:t>
      </w:r>
      <w:r>
        <w:rPr>
          <w:rFonts w:ascii="Calibri" w:hAnsi="Calibri" w:cs="Calibri"/>
        </w:rPr>
        <w:t xml:space="preserve"> сердечно-сосудистом риске и которые не нуждаются в диспансерном наблюдении по поводу других заболеваний (состояний).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 группа состояния здоровья - граждане, </w:t>
      </w:r>
      <w:r w:rsidRPr="005D642A">
        <w:rPr>
          <w:rFonts w:ascii="Calibri" w:hAnsi="Calibri" w:cs="Calibri"/>
          <w:u w:val="single"/>
        </w:rPr>
        <w:t>имеющие заболевания</w:t>
      </w:r>
      <w:r>
        <w:rPr>
          <w:rFonts w:ascii="Calibri" w:hAnsi="Calibri" w:cs="Calibri"/>
        </w:rPr>
        <w:t xml:space="preserve">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По результатам дополнительного обследования группа состояния здоровья гражданина </w:t>
      </w:r>
      <w:r>
        <w:rPr>
          <w:rFonts w:ascii="Calibri" w:hAnsi="Calibri" w:cs="Calibri"/>
        </w:rPr>
        <w:lastRenderedPageBreak/>
        <w:t>может быть изменена.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медицинской организации ведется учет граждан, прошедших профилактический медицинский осмотр, с регистрацией исследований, выполненных при проведении профилактического медицинского осмотра, и исследований, выполненных ранее вне рамок профилактического медицинского осмотра (в течение в течение 12 месяцев, предшествующих месяцу проведения профилактического медицинского осмотра) и учитываемых при профилактическом медицинском осмотре, а также отказов граждан от прохождения отдельных исследований.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Профилактический медицинский осмотр считается законченным в случае выполнения не менее 85% от объема обследования, установленного для данного возраста и пола гражданина (с учетом исследований, выполненных ранее вне рамок профилактического медицинского осмотра (в течение 12 месяцев, предшествующих месяцу проведения профилактического медицинского осмотра) и отказов гражданина от прохождения отдельных исследований).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 профилактического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осмотра, утвержденному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06"/>
      <w:bookmarkEnd w:id="4"/>
      <w:r>
        <w:rPr>
          <w:rFonts w:ascii="Calibri" w:hAnsi="Calibri" w:cs="Calibri"/>
        </w:rPr>
        <w:t>ДИАГНОСТИЧЕСКИЕ КРИТЕРИИ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ФАКТОРОВ РИСКА РАЗВИТИЯ ХРОНИЧЕСКИХ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НЕИНФЕКЦИОННЫХ ЗАБОЛЕВАНИЙ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или проведение гипотензивной терапии.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Дислипидемия - отклонение от нормы одного или более показателей липидного обмена (общий холестерин более 5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/л; холестерин липопротеидов высокой плотности у женщин менее 1,0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/л, у мужчин менее 1,2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/л; холестерин липопротеидов низкой плотности более 3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/л; </w:t>
      </w:r>
      <w:proofErr w:type="spellStart"/>
      <w:r>
        <w:rPr>
          <w:rFonts w:ascii="Calibri" w:hAnsi="Calibri" w:cs="Calibri"/>
        </w:rPr>
        <w:t>триглицериды</w:t>
      </w:r>
      <w:proofErr w:type="spellEnd"/>
      <w:r>
        <w:rPr>
          <w:rFonts w:ascii="Calibri" w:hAnsi="Calibri" w:cs="Calibri"/>
        </w:rPr>
        <w:t xml:space="preserve"> более 1,7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/л) или проведение </w:t>
      </w:r>
      <w:proofErr w:type="spellStart"/>
      <w:r>
        <w:rPr>
          <w:rFonts w:ascii="Calibri" w:hAnsi="Calibri" w:cs="Calibri"/>
        </w:rPr>
        <w:t>гиполипидемической</w:t>
      </w:r>
      <w:proofErr w:type="spellEnd"/>
      <w:r>
        <w:rPr>
          <w:rFonts w:ascii="Calibri" w:hAnsi="Calibri" w:cs="Calibri"/>
        </w:rPr>
        <w:t xml:space="preserve"> терапии.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Гипергликемия - уровень глюкозы плазмы натощак более 6,1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 или проведение </w:t>
      </w:r>
      <w:proofErr w:type="spellStart"/>
      <w:r>
        <w:rPr>
          <w:rFonts w:ascii="Calibri" w:hAnsi="Calibri" w:cs="Calibri"/>
        </w:rPr>
        <w:t>гиполикемической</w:t>
      </w:r>
      <w:proofErr w:type="spellEnd"/>
      <w:r>
        <w:rPr>
          <w:rFonts w:ascii="Calibri" w:hAnsi="Calibri" w:cs="Calibri"/>
        </w:rPr>
        <w:t xml:space="preserve"> терапии.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Курение табака - ежедневное выкуривание одной сигареты и более.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rPr>
          <w:rFonts w:ascii="Calibri" w:hAnsi="Calibri" w:cs="Calibri"/>
        </w:rPr>
        <w:t>досаливание</w:t>
      </w:r>
      <w:proofErr w:type="spellEnd"/>
      <w:r>
        <w:rPr>
          <w:rFonts w:ascii="Calibri" w:hAnsi="Calibri" w:cs="Calibri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Избыточная масса тела - индекс массы тела 25 - 29,9 кг/м2, ожирение - индекс массы тела более 30 кг/м2.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Низкая физическая активность - ходьба в умеренном или быстром темпе менее 30 минут в день.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Риск пагубного потребления алкоголя и риск потребления наркотических средств и психотропных веществ без назначения врача определяется с помощью опроса (анкетирования), предусмотренного </w:t>
      </w:r>
      <w:hyperlink w:anchor="Par63" w:history="1">
        <w:r>
          <w:rPr>
            <w:rFonts w:ascii="Calibri" w:hAnsi="Calibri" w:cs="Calibri"/>
            <w:color w:val="0000FF"/>
          </w:rPr>
          <w:t>подпунктом 1 пункта 10</w:t>
        </w:r>
      </w:hyperlink>
      <w:r>
        <w:rPr>
          <w:rFonts w:ascii="Calibri" w:hAnsi="Calibri" w:cs="Calibri"/>
        </w:rPr>
        <w:t xml:space="preserve"> порядка проведения профилактического медицинского осмотра, утвержденного приказом Министерства здравоохранения Российской Федерации от __________ N ____.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Суммарный сердечно-сосудистый риск устанавливается при отсутствии у гражданина доказанных заболеваний, связанных с атеросклерозом.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51A" w:rsidRDefault="0026151A"/>
    <w:sectPr w:rsidR="0026151A" w:rsidSect="00A9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1D"/>
    <w:rsid w:val="00112692"/>
    <w:rsid w:val="00124CA1"/>
    <w:rsid w:val="0016070F"/>
    <w:rsid w:val="0026151A"/>
    <w:rsid w:val="00324A54"/>
    <w:rsid w:val="003A6EC6"/>
    <w:rsid w:val="00405C94"/>
    <w:rsid w:val="0041687D"/>
    <w:rsid w:val="004215B6"/>
    <w:rsid w:val="004A1C24"/>
    <w:rsid w:val="004F0BAF"/>
    <w:rsid w:val="005D642A"/>
    <w:rsid w:val="006A261C"/>
    <w:rsid w:val="006C338C"/>
    <w:rsid w:val="00787AE1"/>
    <w:rsid w:val="00A564CC"/>
    <w:rsid w:val="00A6741D"/>
    <w:rsid w:val="00A7430B"/>
    <w:rsid w:val="00AC0BB2"/>
    <w:rsid w:val="00BE7AD0"/>
    <w:rsid w:val="00C26BDF"/>
    <w:rsid w:val="00C31BFD"/>
    <w:rsid w:val="00C97D04"/>
    <w:rsid w:val="00EB3356"/>
    <w:rsid w:val="00F65D44"/>
    <w:rsid w:val="00F6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4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6F75D2E3219338E073FE705D8F50B32AA03ECFA4DDD85812F30F05C0E842D3E73F950E60F8CC5i1h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66F75D2E3219338E073FE705D8F50B32AA03ECFA4DDD85812F30F05C0E842D3E73F950E60F8CC5i1h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EA8097CB298CA766856B962B2F93178D4873EAC8923B9A6F0BED7A22F883FE7B596C046C1489AhCh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6CEA8097CB298CA766856B962B2F93170DF883AAF807EB3AEA9B2D5A520D728E0FC9AC146C148h9hE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6CEA8097CB298CA766856B962B2F93178D58F3AAB8323B9A6F0BED7A22F883FE7B596C046C14C92hCh7H" TargetMode="External"/><Relationship Id="rId9" Type="http://schemas.openxmlformats.org/officeDocument/2006/relationships/hyperlink" Target="consultantplus://offline/ref=0666F75D2E3219338E073FE705D8F50B36AE05E8FE47808F89763CF25B01DB3A393AF551E60F88iC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revinag</cp:lastModifiedBy>
  <cp:revision>4</cp:revision>
  <dcterms:created xsi:type="dcterms:W3CDTF">2015-10-18T08:03:00Z</dcterms:created>
  <dcterms:modified xsi:type="dcterms:W3CDTF">2015-12-22T15:03:00Z</dcterms:modified>
</cp:coreProperties>
</file>